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If you are interested in reviewer, please fill in the below form and send it to the conference secretary via email: </w:t>
      </w:r>
      <w:r>
        <w:rPr>
          <w:rFonts w:hint="eastAsia" w:asciiTheme="minorHAnsi" w:hAnsiTheme="minorHAnsi" w:cstheme="minorHAnsi"/>
          <w:bCs/>
          <w:szCs w:val="24"/>
          <w:lang w:val="en-US" w:eastAsia="zh-CN"/>
        </w:rPr>
        <w:t>koyu_publish@koyulink.com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. 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</w:tcPr>
          <w:p w14:paraId="4DF4E14E">
            <w:pPr>
              <w:pStyle w:val="9"/>
              <w:spacing w:before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Organization: 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 others) 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IC-CEC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202</w:t>
      </w: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5</w:t>
      </w:r>
      <w:bookmarkStart w:id="0" w:name="_GoBack"/>
      <w:bookmarkEnd w:id="0"/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 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56F7059B"/>
    <w:rsid w:val="63D7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946</Characters>
  <Lines>8</Lines>
  <Paragraphs>2</Paragraphs>
  <TotalTime>81</TotalTime>
  <ScaleCrop>false</ScaleCrop>
  <LinksUpToDate>false</LinksUpToDate>
  <CharactersWithSpaces>1103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吴声堃</cp:lastModifiedBy>
  <dcterms:modified xsi:type="dcterms:W3CDTF">2025-05-06T15:11:36Z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DDCFB42EE9D54757A74C0841440841DA_13</vt:lpwstr>
  </property>
  <property fmtid="{D5CDD505-2E9C-101B-9397-08002B2CF9AE}" pid="4" name="KSOTemplateDocerSaveRecord">
    <vt:lpwstr>eyJoZGlkIjoiNzE0NTMwZmU2NWViNDBjNTY0MTU2OTg3NmY4Mjg3M2EiLCJ1c2VySWQiOiIzNjA5OTc1MTAifQ==</vt:lpwstr>
  </property>
</Properties>
</file>